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小标宋简体" w:cs="Times New Roman"/>
          <w:sz w:val="32"/>
          <w:szCs w:val="44"/>
          <w:lang w:val="en-US" w:eastAsia="zh-CN"/>
        </w:rPr>
        <w:t>1</w:t>
      </w:r>
    </w:p>
    <w:p>
      <w:pPr>
        <w:widowControl/>
        <w:jc w:val="center"/>
        <w:textAlignment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部门（单位）整体绩效自评表</w:t>
      </w:r>
    </w:p>
    <w:tbl>
      <w:tblPr>
        <w:tblStyle w:val="3"/>
        <w:tblW w:w="13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935"/>
        <w:gridCol w:w="1272"/>
        <w:gridCol w:w="213"/>
        <w:gridCol w:w="2280"/>
        <w:gridCol w:w="1385"/>
        <w:gridCol w:w="216"/>
        <w:gridCol w:w="833"/>
        <w:gridCol w:w="796"/>
        <w:gridCol w:w="180"/>
        <w:gridCol w:w="1253"/>
        <w:gridCol w:w="852"/>
        <w:gridCol w:w="505"/>
        <w:gridCol w:w="835"/>
        <w:gridCol w:w="60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部门（单位）名称</w:t>
            </w:r>
          </w:p>
        </w:tc>
        <w:tc>
          <w:tcPr>
            <w:tcW w:w="8525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三河市商务局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7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黄青春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115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3212332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72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评价时段</w:t>
            </w:r>
          </w:p>
        </w:tc>
        <w:tc>
          <w:tcPr>
            <w:tcW w:w="8525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日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至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日（财政统一要求）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年度部门（单位）预算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执行情况</w:t>
            </w:r>
          </w:p>
        </w:tc>
        <w:tc>
          <w:tcPr>
            <w:tcW w:w="5510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预算收入（万元）</w:t>
            </w:r>
          </w:p>
        </w:tc>
        <w:tc>
          <w:tcPr>
            <w:tcW w:w="5295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收入科目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执行数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支出科目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预算数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执行数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财政拨款收入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2662.35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2662.35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人员经费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1077.14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1071.96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上级补助收入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日常公用经费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133.77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132.76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事业收入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专项公用支出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117.8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55.6398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经营收入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专项项目支出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1396.74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1396.74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spacing w:val="-8"/>
                <w:kern w:val="0"/>
                <w:sz w:val="24"/>
              </w:rPr>
              <w:t>附属单位上缴收入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其他收入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2420" w:type="dxa"/>
            <w:gridSpan w:val="3"/>
            <w:vMerge w:val="continue"/>
            <w:noWrap w:val="0"/>
            <w:vAlign w:val="center"/>
          </w:tcPr>
          <w:p/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2662.35</w:t>
            </w: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ind w:firstLine="720" w:firstLineChars="300"/>
              <w:textAlignment w:val="center"/>
              <w:rPr>
                <w:rFonts w:hint="default"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2662.35</w:t>
            </w:r>
          </w:p>
        </w:tc>
        <w:tc>
          <w:tcPr>
            <w:tcW w:w="228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2725.45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2657.10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年度主要任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务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工作任务名称</w:t>
            </w:r>
          </w:p>
        </w:tc>
        <w:tc>
          <w:tcPr>
            <w:tcW w:w="22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工作任务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完成情况</w:t>
            </w:r>
          </w:p>
        </w:tc>
        <w:tc>
          <w:tcPr>
            <w:tcW w:w="138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对应安排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项目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104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项目完成情况</w:t>
            </w:r>
          </w:p>
        </w:tc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其中：</w:t>
            </w:r>
          </w:p>
        </w:tc>
        <w:tc>
          <w:tcPr>
            <w:tcW w:w="144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执行数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280" w:type="dxa"/>
            <w:vMerge w:val="continue"/>
            <w:noWrap w:val="0"/>
            <w:vAlign w:val="center"/>
          </w:tcPr>
          <w:p/>
        </w:tc>
        <w:tc>
          <w:tcPr>
            <w:tcW w:w="1385" w:type="dxa"/>
            <w:vMerge w:val="continue"/>
            <w:noWrap w:val="0"/>
            <w:vAlign w:val="center"/>
          </w:tcPr>
          <w:p/>
        </w:tc>
        <w:tc>
          <w:tcPr>
            <w:tcW w:w="1049" w:type="dxa"/>
            <w:gridSpan w:val="2"/>
            <w:vMerge w:val="continue"/>
            <w:noWrap w:val="0"/>
            <w:vAlign w:val="center"/>
          </w:tcPr>
          <w:p/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/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财政拨款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其他资金</w:t>
            </w:r>
          </w:p>
        </w:tc>
        <w:tc>
          <w:tcPr>
            <w:tcW w:w="1440" w:type="dxa"/>
            <w:gridSpan w:val="2"/>
            <w:vMerge w:val="continue"/>
            <w:noWrap w:val="0"/>
            <w:vAlign w:val="center"/>
          </w:tcPr>
          <w:p/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财政拨款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招商引资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未全部开展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招商引资活动经费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0.86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0.86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对外贸易管理</w:t>
            </w:r>
          </w:p>
        </w:tc>
        <w:tc>
          <w:tcPr>
            <w:tcW w:w="2280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外贸出口奖励专项资金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340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340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261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280" w:type="dxa"/>
            <w:vMerge w:val="continue"/>
            <w:noWrap w:val="0"/>
            <w:vAlign w:val="center"/>
          </w:tcPr>
          <w:p/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出口信用保险补贴资金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50.49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50.49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50.49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50.49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both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消费市场调控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限额以上批零住餐企业奖励资金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180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180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57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6199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金额合计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640.49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640.49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492.35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492.35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目标值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实际值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指标解释</w:t>
            </w:r>
            <w:r>
              <w:rPr>
                <w:rFonts w:eastAsia="仿宋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评分规则</w:t>
            </w:r>
            <w:r>
              <w:rPr>
                <w:rFonts w:eastAsia="仿宋_GB2312"/>
                <w:color w:val="000000"/>
                <w:kern w:val="0"/>
                <w:sz w:val="24"/>
              </w:rPr>
              <w:t>*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自评得分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部门管理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40分）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资金投入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预算完成率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预算完成数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年初预算数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完成率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预算调整率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调整预算数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/年初预算数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1-调整率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支出进度率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94.9%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实际支出数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/年初预算数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进度率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“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三公经费”变动率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7%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三公经费变动数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/年初预算数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100%计满分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结转结余变动率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结转结余变动数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/年初数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100%计满分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　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财务管理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财务管理制度健全性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财务管理制度是否健全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健全满分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资金使用合规性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合规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合规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资金使用是否合规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合规满分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采购管理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政府采购执行率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实际采购金额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/年初预算数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完成率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资产管理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资产管理规范性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规范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规范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资产管理是否符合规范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规范满分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人员管理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在职人员控制率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92%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本年在职人数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/上年在职人数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信息管理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预决算信息公开性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全部公开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全部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预决算、绩效信息公开是否公开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全部公开满分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基础信息完备性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完备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完备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基础信息是否完备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完备满分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绩效管理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绩效管理制度健全性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绩效管理制度是否健全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健全满分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绩效目标审核通过率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通过审核项目数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/全部项目数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通过率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绩效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自评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覆盖率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自评项目数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/全部项目数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自评覆盖率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2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绩效指标体系构建情况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完成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未完成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未开展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进展中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1分，未开展分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5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/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重点工作管理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重点工作制度健全性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重点工作制度是否健全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健全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1分，否则0分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部门产出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40分）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量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重点工作实际完成率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96%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已完成重点工作数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/全部工作数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完成率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质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量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重点工作质量达标率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95%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已达标重点工作数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/全部重点工作数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达标率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时　效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重点工作完成及时率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及时完成重点工作数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*全部重点工作数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及时率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*权重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　本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公用经费控制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75%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本年公用经费数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/上年公用经费数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100%计满分每超出1%扣1分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社会效益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提升外贸出口企业国际市场竞争力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提升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提升</w:t>
            </w:r>
          </w:p>
        </w:tc>
        <w:tc>
          <w:tcPr>
            <w:tcW w:w="97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外贸出口企业国际市场竞争力是否有所提升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提升满分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生态效益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减少加油站污染物排放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减少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Calibri" w:hAnsi="Calibri" w:eastAsia="仿宋_GB2312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减少</w:t>
            </w:r>
          </w:p>
        </w:tc>
        <w:tc>
          <w:tcPr>
            <w:tcW w:w="97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加油站污染物排放是否减少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减少满分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935" w:type="dxa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满意度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服务对性满意度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≥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90%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服务对象对我部门工作满意程度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90%以上满分，70%以下不得分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合　计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6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-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评价结论</w:t>
            </w:r>
          </w:p>
        </w:tc>
        <w:tc>
          <w:tcPr>
            <w:tcW w:w="8525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自评总分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95.7分，</w:t>
            </w: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部门整体绩效目标完成情况良好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绩效目标完成的指标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（超标完成的指标需说明偏差原因）</w:t>
            </w:r>
          </w:p>
        </w:tc>
        <w:tc>
          <w:tcPr>
            <w:tcW w:w="8525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无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尚未完成的绩效指标与偏差程度</w:t>
            </w:r>
          </w:p>
        </w:tc>
        <w:tc>
          <w:tcPr>
            <w:tcW w:w="8525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招商引资指标未完成，偏差度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98.28%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470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尚未完成的绩效指标原因说明</w:t>
            </w:r>
          </w:p>
        </w:tc>
        <w:tc>
          <w:tcPr>
            <w:tcW w:w="8525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受疫情影响，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2020年度未举办、参加站上引资各项活动，属不可抗力，非人为因素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2207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改进措施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对部门预算编制、预算执行与部门决算等的措施</w:t>
            </w:r>
          </w:p>
        </w:tc>
        <w:tc>
          <w:tcPr>
            <w:tcW w:w="8525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加强主管领导及项目负责人业务培训，落实项目绩效问责机制，不断提高绩效指标编制质量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对制度完善、人员管理、资产配置等的措施</w:t>
            </w:r>
          </w:p>
        </w:tc>
        <w:tc>
          <w:tcPr>
            <w:tcW w:w="8525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eastAsia="zh-CN"/>
              </w:rPr>
              <w:t>加强资产管理制度，开展不定期清查，及时按程序处理已报废资产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22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其他措施</w:t>
            </w:r>
          </w:p>
        </w:tc>
        <w:tc>
          <w:tcPr>
            <w:tcW w:w="8525" w:type="dxa"/>
            <w:gridSpan w:val="11"/>
            <w:noWrap w:val="0"/>
            <w:vAlign w:val="bottom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4" w:hRule="atLeast"/>
          <w:jc w:val="center"/>
        </w:trPr>
        <w:tc>
          <w:tcPr>
            <w:tcW w:w="220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备　注</w:t>
            </w:r>
          </w:p>
        </w:tc>
        <w:tc>
          <w:tcPr>
            <w:tcW w:w="11018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1、2020年度我部门未收到审计报告；2、2020年度绩效自评、决算因时间节点问题暂未公开，非自身原因；3、2020年度除招商引资工作受疫情影响未开展，剩余资金已全部退回财政，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其他各项均按时完成；外贸出口奖励资金及批零住餐企业限上奖励资金属年初预留资金，预算执行数以实际申请数为准。</w:t>
            </w:r>
          </w:p>
        </w:tc>
      </w:tr>
    </w:tbl>
    <w:p>
      <w:pPr>
        <w:widowControl/>
        <w:spacing w:line="240" w:lineRule="atLeast"/>
        <w:jc w:val="left"/>
        <w:rPr>
          <w:rFonts w:hint="eastAsia" w:eastAsia="仿宋_GB2312"/>
          <w:color w:val="000000"/>
          <w:kern w:val="0"/>
          <w:sz w:val="24"/>
          <w:lang w:eastAsia="zh-CN"/>
        </w:rPr>
        <w:sectPr>
          <w:pgSz w:w="16783" w:h="11850" w:orient="landscape"/>
          <w:pgMar w:top="1531" w:right="1814" w:bottom="1531" w:left="1814" w:header="851" w:footer="1418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eastAsia="仿宋_GB2312"/>
          <w:color w:val="000000"/>
          <w:kern w:val="0"/>
          <w:sz w:val="24"/>
        </w:rPr>
        <w:t>备注：指标解释、评分规则依照部门整体绩效评价共性指标体系框架填写</w:t>
      </w:r>
      <w:r>
        <w:rPr>
          <w:rFonts w:hint="eastAsia" w:eastAsia="仿宋_GB2312"/>
          <w:color w:val="000000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2691F"/>
    <w:rsid w:val="08691E6F"/>
    <w:rsid w:val="0A5A54EC"/>
    <w:rsid w:val="0B77019E"/>
    <w:rsid w:val="12C6508A"/>
    <w:rsid w:val="1753634A"/>
    <w:rsid w:val="19521FB2"/>
    <w:rsid w:val="1A8E5F6D"/>
    <w:rsid w:val="22BA118C"/>
    <w:rsid w:val="239704FB"/>
    <w:rsid w:val="24CE713C"/>
    <w:rsid w:val="25E475D2"/>
    <w:rsid w:val="2774484D"/>
    <w:rsid w:val="30420A9D"/>
    <w:rsid w:val="30955D7F"/>
    <w:rsid w:val="3863770C"/>
    <w:rsid w:val="4CFE1FF1"/>
    <w:rsid w:val="4FA564C8"/>
    <w:rsid w:val="52E12E0E"/>
    <w:rsid w:val="549874C5"/>
    <w:rsid w:val="5DB2691F"/>
    <w:rsid w:val="64384543"/>
    <w:rsid w:val="653A1C39"/>
    <w:rsid w:val="65841960"/>
    <w:rsid w:val="67587836"/>
    <w:rsid w:val="730F4D18"/>
    <w:rsid w:val="7D5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2021-08-17T03:37:00Z</dcterms:created>
  <dc:creator>黄蓉</dc:creator>
  <cp:lastModifiedBy>黄蓉</cp:lastModifiedBy>
  <cp:lastPrinted>2021-08-23T01:02:28Z</cp:lastPrinted>
  <dcterms:modified xsi:type="dcterms:W3CDTF">2021-08-23T01:03:58Z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